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2021年第二批医用耗材采购项目</w:t>
      </w: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2021年9月16日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2021年第二批医用耗材采购项目，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2021年第二批医用耗材采购项目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w:t>
      </w:r>
      <w:r>
        <w:rPr>
          <w:rFonts w:hint="eastAsia" w:ascii="黑体" w:eastAsia="黑体"/>
          <w:sz w:val="32"/>
          <w:szCs w:val="32"/>
          <w:lang w:eastAsia="zh-CN"/>
        </w:rPr>
        <w:t>况</w:t>
      </w:r>
      <w:r>
        <w:rPr>
          <w:rFonts w:hint="eastAsia" w:ascii="黑体" w:eastAsia="黑体"/>
          <w:sz w:val="32"/>
          <w:szCs w:val="32"/>
          <w:lang w:val="en-US" w:eastAsia="zh-CN"/>
        </w:rPr>
        <w:t xml:space="preserve"> </w:t>
      </w:r>
    </w:p>
    <w:p>
      <w:pPr>
        <w:pStyle w:val="2"/>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详细参数见附件</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17</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5"/>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、医疗器械经营许可证、产品授权书、产品注册证。</w:t>
      </w:r>
    </w:p>
    <w:p>
      <w:pPr>
        <w:pStyle w:val="2"/>
        <w:numPr>
          <w:ilvl w:val="0"/>
          <w:numId w:val="5"/>
        </w:numPr>
        <w:ind w:left="0" w:leftChars="0" w:firstLine="640" w:firstLineChars="200"/>
        <w:rPr>
          <w:rFonts w:hint="eastAsia" w:ascii="仿宋_GB2312" w:eastAsia="仿宋_GB2312"/>
          <w:color w:val="C00000"/>
          <w:sz w:val="32"/>
          <w:szCs w:val="32"/>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pStyle w:val="2"/>
        <w:numPr>
          <w:ilvl w:val="0"/>
          <w:numId w:val="0"/>
        </w:numPr>
        <w:ind w:leftChars="200"/>
        <w:rPr>
          <w:rFonts w:hint="eastAsia"/>
          <w:lang w:eastAsia="zh-CN"/>
        </w:rPr>
      </w:pP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为评标基准价，得</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30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2"/>
              <w:numPr>
                <w:ilvl w:val="0"/>
                <w:numId w:val="8"/>
              </w:numPr>
              <w:rPr>
                <w:rFonts w:hint="eastAsia"/>
                <w:lang w:val="en-US" w:eastAsia="zh-CN"/>
              </w:rPr>
            </w:pPr>
            <w:r>
              <w:rPr>
                <w:rFonts w:hint="eastAsia"/>
                <w:lang w:val="en-US" w:eastAsia="zh-CN"/>
              </w:rPr>
              <w:t>根据产品的售后方案在0-5分范围内进行打分</w:t>
            </w:r>
          </w:p>
          <w:p>
            <w:pPr>
              <w:pStyle w:val="2"/>
              <w:numPr>
                <w:ilvl w:val="0"/>
                <w:numId w:val="8"/>
              </w:numPr>
              <w:rPr>
                <w:rFonts w:hint="eastAsia"/>
                <w:lang w:val="en-US" w:eastAsia="zh-CN"/>
              </w:rPr>
            </w:pPr>
            <w:r>
              <w:rPr>
                <w:rFonts w:hint="eastAsia"/>
                <w:lang w:val="en-US" w:eastAsia="zh-CN"/>
              </w:rPr>
              <w:t>根据其他优惠条件在0-10分范围内打分</w:t>
            </w:r>
          </w:p>
        </w:tc>
      </w:tr>
    </w:tbl>
    <w:p>
      <w:pPr>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4"/>
          <w:sz w:val="24"/>
        </w:rPr>
        <w:t>为构建诚信、公正、和谐的医用耗材购销秩序，维护医用耗材集中招标采购工作成果，根据《中华人民共和国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w:t>
      </w:r>
      <w:r>
        <w:rPr>
          <w:rFonts w:hint="eastAsia" w:ascii="仿宋" w:hAnsi="仿宋" w:eastAsia="仿宋" w:cs="仿宋"/>
          <w:color w:val="auto"/>
          <w:spacing w:val="4"/>
          <w:sz w:val="24"/>
        </w:rPr>
        <w:t>《医疗器械监督管理条例》</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买医用耗材</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numPr>
          <w:ilvl w:val="0"/>
          <w:numId w:val="9"/>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b/>
          <w:color w:val="auto"/>
          <w:spacing w:val="4"/>
          <w:sz w:val="28"/>
          <w:szCs w:val="28"/>
          <w:highlight w:val="none"/>
        </w:rPr>
        <w:t>耗材资质</w:t>
      </w:r>
      <w:r>
        <w:rPr>
          <w:rFonts w:hint="eastAsia" w:ascii="仿宋" w:hAnsi="仿宋" w:eastAsia="仿宋" w:cs="仿宋"/>
          <w:b/>
          <w:color w:val="auto"/>
          <w:spacing w:val="4"/>
          <w:sz w:val="28"/>
          <w:szCs w:val="28"/>
          <w:highlight w:val="none"/>
        </w:rPr>
        <w:br w:type="textWrapping"/>
      </w:r>
      <w:r>
        <w:rPr>
          <w:rFonts w:hint="eastAsia" w:ascii="仿宋" w:hAnsi="仿宋" w:eastAsia="仿宋" w:cs="仿宋"/>
          <w:b/>
          <w:color w:val="auto"/>
          <w:spacing w:val="4"/>
          <w:sz w:val="28"/>
          <w:szCs w:val="28"/>
          <w:highlight w:val="none"/>
        </w:rPr>
        <w:t xml:space="preserve">   </w:t>
      </w:r>
      <w:r>
        <w:rPr>
          <w:rFonts w:hint="eastAsia" w:ascii="仿宋" w:hAnsi="仿宋" w:eastAsia="仿宋" w:cs="仿宋"/>
          <w:color w:val="auto"/>
          <w:spacing w:val="4"/>
          <w:sz w:val="24"/>
          <w:szCs w:val="24"/>
          <w:highlight w:val="none"/>
        </w:rPr>
        <w:t>1、供货期内，乙方应根据相关法律法规和甲方要求提供企业营业执照、税务登记证、组织机构代码证、医疗器械经营许可证等资质，并提供所供产</w:t>
      </w:r>
      <w:r>
        <w:rPr>
          <w:rFonts w:hint="eastAsia" w:ascii="仿宋" w:hAnsi="仿宋" w:eastAsia="仿宋" w:cs="仿宋"/>
          <w:color w:val="auto"/>
          <w:spacing w:val="4"/>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szCs w:val="24"/>
          <w:highlight w:val="none"/>
          <w:lang w:eastAsia="zh-CN"/>
        </w:rPr>
        <w:t>品的生产</w:t>
      </w:r>
      <w:r>
        <w:rPr>
          <w:rFonts w:hint="eastAsia" w:ascii="仿宋" w:hAnsi="仿宋" w:eastAsia="仿宋" w:cs="仿宋"/>
          <w:color w:val="auto"/>
          <w:spacing w:val="4"/>
          <w:sz w:val="24"/>
          <w:szCs w:val="24"/>
          <w:highlight w:val="none"/>
        </w:rPr>
        <w:t>企业</w:t>
      </w:r>
      <w:r>
        <w:rPr>
          <w:rFonts w:hint="eastAsia" w:ascii="仿宋" w:hAnsi="仿宋" w:eastAsia="仿宋" w:cs="仿宋"/>
          <w:color w:val="auto"/>
          <w:spacing w:val="4"/>
          <w:sz w:val="24"/>
          <w:szCs w:val="24"/>
          <w:highlight w:val="none"/>
          <w:lang w:eastAsia="zh-CN"/>
        </w:rPr>
        <w:t>的</w:t>
      </w:r>
      <w:r>
        <w:rPr>
          <w:rFonts w:hint="eastAsia" w:ascii="仿宋" w:hAnsi="仿宋" w:eastAsia="仿宋" w:cs="仿宋"/>
          <w:color w:val="auto"/>
          <w:spacing w:val="4"/>
          <w:sz w:val="24"/>
          <w:szCs w:val="24"/>
          <w:highlight w:val="none"/>
        </w:rPr>
        <w:t>营业执照、税务登记证、组织机构代码证、医疗器械</w:t>
      </w:r>
      <w:r>
        <w:rPr>
          <w:rFonts w:hint="eastAsia" w:ascii="仿宋" w:hAnsi="仿宋" w:eastAsia="仿宋" w:cs="仿宋"/>
          <w:color w:val="auto"/>
          <w:spacing w:val="4"/>
          <w:sz w:val="24"/>
          <w:szCs w:val="24"/>
          <w:highlight w:val="none"/>
          <w:lang w:eastAsia="zh-CN"/>
        </w:rPr>
        <w:t>生产</w:t>
      </w:r>
      <w:r>
        <w:rPr>
          <w:rFonts w:hint="eastAsia" w:ascii="仿宋" w:hAnsi="仿宋" w:eastAsia="仿宋" w:cs="仿宋"/>
          <w:color w:val="auto"/>
          <w:spacing w:val="4"/>
          <w:sz w:val="24"/>
          <w:szCs w:val="24"/>
          <w:highlight w:val="none"/>
        </w:rPr>
        <w:t>许可证</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4"/>
          <w:sz w:val="24"/>
          <w:szCs w:val="24"/>
          <w:highlight w:val="none"/>
        </w:rPr>
        <w:t>医疗器械注册证、医疗器械注册登记表、厂家授权等整套产品资质，并保证厂家授权在有效期内，严格按照产品注册证</w:t>
      </w:r>
      <w:r>
        <w:rPr>
          <w:rFonts w:hint="eastAsia" w:ascii="仿宋" w:hAnsi="仿宋" w:eastAsia="仿宋" w:cs="仿宋"/>
          <w:color w:val="auto"/>
          <w:spacing w:val="4"/>
          <w:sz w:val="24"/>
          <w:szCs w:val="24"/>
          <w:highlight w:val="none"/>
          <w:lang w:eastAsia="zh-CN"/>
        </w:rPr>
        <w:t>等所有资质</w:t>
      </w:r>
      <w:r>
        <w:rPr>
          <w:rFonts w:hint="eastAsia" w:ascii="仿宋" w:hAnsi="仿宋" w:eastAsia="仿宋" w:cs="仿宋"/>
          <w:color w:val="auto"/>
          <w:spacing w:val="4"/>
          <w:sz w:val="24"/>
          <w:szCs w:val="24"/>
          <w:highlight w:val="none"/>
        </w:rPr>
        <w:t>的有效期自觉进行循环更新</w:t>
      </w:r>
      <w:r>
        <w:rPr>
          <w:rFonts w:hint="eastAsia" w:ascii="仿宋" w:hAnsi="仿宋" w:eastAsia="仿宋" w:cs="仿宋"/>
          <w:color w:val="auto"/>
          <w:spacing w:val="4"/>
          <w:sz w:val="24"/>
          <w:szCs w:val="24"/>
          <w:highlight w:val="none"/>
          <w:lang w:eastAsia="zh-CN"/>
        </w:rPr>
        <w:t>，保证资质都在有效期内</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val="en-US" w:eastAsia="zh-CN"/>
        </w:rPr>
        <w:t>供货期内，乙方提供的厂家及产品资质授权内如有不合规定或过期未更新的，甲方有权单方面终止合同。</w:t>
      </w:r>
      <w:r>
        <w:rPr>
          <w:rFonts w:hint="eastAsia" w:ascii="仿宋" w:hAnsi="仿宋" w:eastAsia="仿宋" w:cs="仿宋"/>
          <w:color w:val="auto"/>
          <w:spacing w:val="4"/>
          <w:sz w:val="24"/>
          <w:szCs w:val="24"/>
          <w:highlight w:val="none"/>
        </w:rPr>
        <w:t>乙方应及时了解学习有关医疗耗材方面的最新规定并严格执行。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2、供货期内，乙方必须保证所供产品的注册证在有效期内，如注册证即将到期，乙方必须提前半年向甲方提供重新注册的受理证明，否则一经发现资质材料内有不合规定或过期未更新的，甲方有权单方面终止合同，注册证过期后所供产品不予办理付款手续，一切损失由乙方自行承担。</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3、供货期间，乙方不得擅自转让所供产品的授权，如有授权变更等问题，甲方有权终止合同。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4</w:t>
      </w:r>
      <w:r>
        <w:rPr>
          <w:rFonts w:hint="eastAsia" w:ascii="仿宋" w:hAnsi="仿宋" w:eastAsia="仿宋" w:cs="仿宋"/>
          <w:color w:val="auto"/>
          <w:spacing w:val="4"/>
          <w:sz w:val="24"/>
          <w:szCs w:val="24"/>
          <w:highlight w:val="none"/>
        </w:rPr>
        <w:t>、乙方不得擅自更改公司名称、法人代表等；如遇特殊原因，乙方</w:t>
      </w:r>
      <w:r>
        <w:rPr>
          <w:rFonts w:hint="eastAsia" w:ascii="仿宋" w:hAnsi="仿宋" w:eastAsia="仿宋" w:cs="仿宋"/>
          <w:color w:val="auto"/>
          <w:spacing w:val="4"/>
          <w:sz w:val="24"/>
          <w:szCs w:val="24"/>
          <w:highlight w:val="none"/>
          <w:lang w:eastAsia="zh-CN"/>
        </w:rPr>
        <w:t>必须</w:t>
      </w:r>
      <w:r>
        <w:rPr>
          <w:rFonts w:hint="eastAsia" w:ascii="仿宋" w:hAnsi="仿宋" w:eastAsia="仿宋" w:cs="仿宋"/>
          <w:color w:val="auto"/>
          <w:spacing w:val="4"/>
          <w:sz w:val="24"/>
          <w:szCs w:val="24"/>
          <w:highlight w:val="none"/>
        </w:rPr>
        <w:t>通知甲方工作人员并按医院要求办理变更审批手续，自觉到甲方</w:t>
      </w:r>
      <w:r>
        <w:rPr>
          <w:rFonts w:hint="eastAsia" w:ascii="仿宋" w:hAnsi="仿宋" w:eastAsia="仿宋" w:cs="仿宋"/>
          <w:color w:val="auto"/>
          <w:spacing w:val="4"/>
          <w:sz w:val="24"/>
          <w:szCs w:val="24"/>
          <w:highlight w:val="none"/>
          <w:lang w:eastAsia="zh-CN"/>
        </w:rPr>
        <w:t>医学装备部</w:t>
      </w:r>
      <w:r>
        <w:rPr>
          <w:rFonts w:hint="eastAsia" w:ascii="仿宋" w:hAnsi="仿宋" w:eastAsia="仿宋" w:cs="仿宋"/>
          <w:color w:val="auto"/>
          <w:spacing w:val="4"/>
          <w:sz w:val="24"/>
          <w:szCs w:val="24"/>
          <w:highlight w:val="none"/>
        </w:rPr>
        <w:t>做好交接及后续工作。</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5</w:t>
      </w:r>
      <w:r>
        <w:rPr>
          <w:rFonts w:hint="eastAsia" w:ascii="仿宋" w:hAnsi="仿宋" w:eastAsia="仿宋" w:cs="仿宋"/>
          <w:color w:val="auto"/>
          <w:spacing w:val="4"/>
          <w:sz w:val="24"/>
          <w:szCs w:val="24"/>
          <w:highlight w:val="none"/>
        </w:rPr>
        <w:t>、所供产品乙方不得私自停止供货，如遇特殊情况，乙方需提前3个月向甲方说明，</w:t>
      </w:r>
      <w:r>
        <w:rPr>
          <w:rFonts w:hint="eastAsia" w:ascii="仿宋" w:hAnsi="仿宋" w:eastAsia="仿宋" w:cs="仿宋"/>
          <w:color w:val="auto"/>
          <w:spacing w:val="4"/>
          <w:sz w:val="24"/>
          <w:szCs w:val="24"/>
          <w:highlight w:val="none"/>
          <w:lang w:eastAsia="zh-CN"/>
        </w:rPr>
        <w:t>否则甲方将有权拒绝支付该公司剩余货款。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二、供货标准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，所有供货产品需在河南省公共资源交易中心挂网。</w:t>
      </w:r>
      <w:r>
        <w:rPr>
          <w:rFonts w:hint="eastAsia" w:ascii="仿宋" w:hAnsi="仿宋" w:eastAsia="仿宋" w:cs="仿宋"/>
          <w:color w:val="auto"/>
          <w:spacing w:val="4"/>
          <w:sz w:val="24"/>
          <w:highlight w:val="none"/>
        </w:rPr>
        <w:t>供货的品种、规格、产地、数量等，均以甲方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的采购计划或申请为准，供货的时间以双方最终确认的时间为准，耗材的配送不应超过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小时（不可抗力除外）。急需耗材采购，乙方应积极配合，采取一切办法必须保证急需耗材按时供应。</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2、供货期内，乙方必须严格执行</w:t>
      </w:r>
      <w:r>
        <w:rPr>
          <w:rFonts w:hint="eastAsia" w:ascii="仿宋" w:hAnsi="仿宋" w:eastAsia="仿宋" w:cs="仿宋"/>
          <w:color w:val="auto"/>
          <w:sz w:val="24"/>
          <w:highlight w:val="none"/>
        </w:rPr>
        <w:t>各年度标内产品</w:t>
      </w:r>
      <w:r>
        <w:rPr>
          <w:rFonts w:hint="eastAsia" w:ascii="仿宋" w:hAnsi="仿宋" w:eastAsia="仿宋" w:cs="仿宋"/>
          <w:color w:val="auto"/>
          <w:highlight w:val="none"/>
        </w:rPr>
        <w:t>，不</w:t>
      </w:r>
      <w:r>
        <w:rPr>
          <w:rFonts w:hint="eastAsia" w:ascii="仿宋" w:hAnsi="仿宋" w:eastAsia="仿宋" w:cs="仿宋"/>
          <w:color w:val="auto"/>
          <w:spacing w:val="4"/>
          <w:sz w:val="24"/>
          <w:highlight w:val="none"/>
        </w:rPr>
        <w:t>允许标外供货，一经发现，甲方有权立即终止合同，并追究乙方相关责任。新进耗材产品必须经过甲方院内审批，未经审批的产品不予办理出入库及付款手续。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3、</w:t>
      </w:r>
      <w:r>
        <w:rPr>
          <w:rFonts w:hint="eastAsia" w:ascii="仿宋" w:hAnsi="仿宋" w:eastAsia="仿宋" w:cs="仿宋"/>
          <w:color w:val="auto"/>
          <w:spacing w:val="4"/>
          <w:sz w:val="24"/>
          <w:highlight w:val="none"/>
        </w:rPr>
        <w:t>乙方应保证资质齐全</w:t>
      </w:r>
      <w:r>
        <w:rPr>
          <w:rFonts w:hint="eastAsia" w:ascii="仿宋" w:hAnsi="仿宋" w:eastAsia="仿宋" w:cs="仿宋"/>
          <w:color w:val="auto"/>
          <w:spacing w:val="4"/>
          <w:sz w:val="24"/>
          <w:highlight w:val="none"/>
          <w:lang w:eastAsia="zh-CN"/>
        </w:rPr>
        <w:t>的</w:t>
      </w:r>
      <w:r>
        <w:rPr>
          <w:rFonts w:hint="eastAsia" w:ascii="仿宋" w:hAnsi="仿宋" w:eastAsia="仿宋" w:cs="仿宋"/>
          <w:color w:val="auto"/>
          <w:spacing w:val="4"/>
          <w:sz w:val="24"/>
          <w:highlight w:val="none"/>
        </w:rPr>
        <w:t>货源</w:t>
      </w:r>
      <w:r>
        <w:rPr>
          <w:rFonts w:hint="eastAsia" w:ascii="仿宋" w:hAnsi="仿宋" w:eastAsia="仿宋" w:cs="仿宋"/>
          <w:color w:val="auto"/>
          <w:spacing w:val="4"/>
          <w:sz w:val="24"/>
          <w:highlight w:val="none"/>
          <w:lang w:eastAsia="zh-CN"/>
        </w:rPr>
        <w:t>为我院中标的产品，中标价</w:t>
      </w:r>
      <w:r>
        <w:rPr>
          <w:rFonts w:hint="eastAsia" w:ascii="仿宋" w:hAnsi="仿宋" w:eastAsia="仿宋" w:cs="仿宋"/>
          <w:color w:val="auto"/>
          <w:spacing w:val="4"/>
          <w:sz w:val="24"/>
          <w:highlight w:val="none"/>
        </w:rPr>
        <w:t>不高于</w:t>
      </w:r>
      <w:r>
        <w:rPr>
          <w:rFonts w:hint="eastAsia" w:ascii="仿宋" w:hAnsi="仿宋" w:eastAsia="仿宋" w:cs="仿宋"/>
          <w:color w:val="auto"/>
          <w:spacing w:val="4"/>
          <w:sz w:val="24"/>
          <w:highlight w:val="none"/>
          <w:lang w:eastAsia="zh-CN"/>
        </w:rPr>
        <w:t>省网采平台限价、</w:t>
      </w:r>
      <w:r>
        <w:rPr>
          <w:rFonts w:hint="eastAsia" w:ascii="仿宋" w:hAnsi="仿宋" w:eastAsia="仿宋" w:cs="仿宋"/>
          <w:color w:val="auto"/>
          <w:spacing w:val="4"/>
          <w:sz w:val="24"/>
          <w:highlight w:val="none"/>
          <w:lang w:val="en-US" w:eastAsia="zh-CN"/>
        </w:rPr>
        <w:t>郑州市中心医院现行价格</w:t>
      </w:r>
      <w:r>
        <w:rPr>
          <w:rFonts w:hint="eastAsia" w:ascii="仿宋" w:hAnsi="仿宋" w:eastAsia="仿宋" w:cs="仿宋"/>
          <w:color w:val="auto"/>
          <w:spacing w:val="4"/>
          <w:sz w:val="24"/>
          <w:highlight w:val="none"/>
        </w:rPr>
        <w:t>，如高于</w:t>
      </w:r>
      <w:r>
        <w:rPr>
          <w:rFonts w:hint="eastAsia" w:ascii="仿宋" w:hAnsi="仿宋" w:eastAsia="仿宋" w:cs="仿宋"/>
          <w:color w:val="auto"/>
          <w:spacing w:val="4"/>
          <w:sz w:val="24"/>
          <w:highlight w:val="none"/>
          <w:lang w:eastAsia="zh-CN"/>
        </w:rPr>
        <w:t>此</w:t>
      </w:r>
      <w:r>
        <w:rPr>
          <w:rFonts w:hint="eastAsia" w:ascii="仿宋" w:hAnsi="仿宋" w:eastAsia="仿宋" w:cs="仿宋"/>
          <w:color w:val="auto"/>
          <w:spacing w:val="4"/>
          <w:sz w:val="24"/>
          <w:highlight w:val="none"/>
        </w:rPr>
        <w:t>价格，</w:t>
      </w:r>
      <w:r>
        <w:rPr>
          <w:rFonts w:hint="eastAsia" w:ascii="仿宋" w:hAnsi="仿宋" w:eastAsia="仿宋" w:cs="仿宋"/>
          <w:color w:val="auto"/>
          <w:spacing w:val="4"/>
          <w:sz w:val="24"/>
          <w:highlight w:val="none"/>
          <w:lang w:eastAsia="zh-CN"/>
        </w:rPr>
        <w:t>乙方应向甲方支付自中标之日起所提供产品总价款的</w:t>
      </w:r>
      <w:r>
        <w:rPr>
          <w:rFonts w:hint="eastAsia" w:ascii="仿宋" w:hAnsi="仿宋" w:eastAsia="仿宋" w:cs="仿宋"/>
          <w:color w:val="auto"/>
          <w:spacing w:val="4"/>
          <w:sz w:val="24"/>
          <w:highlight w:val="none"/>
          <w:lang w:val="en-US" w:eastAsia="zh-CN"/>
        </w:rPr>
        <w:t>2倍以作赔偿，并终止合同。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、乙方所供设备免费赠送的产品（耗材、试剂等）需经过</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验收，必须附带完整的产品资质，否则甲方有权拒绝办理验收事宜。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5、乙方提供所供产品（植入物）相配套使用的医疗器械，必须有医疗器械注册证（或第一类医疗器械产品备案凭证）、医疗器械的说明书（内容应包括清洗、消毒、包装、灭菌方法与参数）</w:t>
      </w:r>
      <w:r>
        <w:rPr>
          <w:rFonts w:hint="eastAsia" w:ascii="仿宋" w:hAnsi="仿宋" w:eastAsia="仿宋" w:cs="仿宋"/>
          <w:color w:val="auto"/>
          <w:sz w:val="21"/>
          <w:szCs w:val="21"/>
          <w:highlight w:val="none"/>
          <w:lang w:eastAsia="zh-CN"/>
        </w:rPr>
        <w:t>等，</w:t>
      </w:r>
      <w:r>
        <w:rPr>
          <w:rFonts w:hint="eastAsia" w:ascii="仿宋" w:hAnsi="仿宋" w:eastAsia="仿宋" w:cs="仿宋"/>
          <w:color w:val="auto"/>
          <w:spacing w:val="4"/>
          <w:sz w:val="24"/>
          <w:highlight w:val="none"/>
          <w:lang w:eastAsia="zh-CN"/>
        </w:rPr>
        <w:t>同时乙方</w:t>
      </w:r>
      <w:r>
        <w:rPr>
          <w:rFonts w:hint="eastAsia" w:ascii="仿宋" w:hAnsi="仿宋" w:eastAsia="仿宋" w:cs="仿宋"/>
          <w:color w:val="auto"/>
          <w:spacing w:val="4"/>
          <w:sz w:val="24"/>
          <w:highlight w:val="none"/>
          <w:lang w:val="en-US" w:eastAsia="zh-CN"/>
        </w:rPr>
        <w:t xml:space="preserve">应保障送货及时，择期手术最晚应于术前一日15时前将器械送达消毒供应中心，急诊手术应及时送达。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6</w:t>
      </w:r>
      <w:r>
        <w:rPr>
          <w:rFonts w:hint="eastAsia" w:ascii="仿宋" w:hAnsi="仿宋" w:eastAsia="仿宋" w:cs="仿宋"/>
          <w:color w:val="auto"/>
          <w:spacing w:val="4"/>
          <w:sz w:val="24"/>
          <w:highlight w:val="none"/>
        </w:rPr>
        <w:t>、由</w:t>
      </w:r>
      <w:r>
        <w:rPr>
          <w:rFonts w:hint="eastAsia" w:ascii="仿宋" w:hAnsi="仿宋" w:eastAsia="仿宋" w:cs="仿宋"/>
          <w:color w:val="auto"/>
          <w:spacing w:val="4"/>
          <w:sz w:val="24"/>
          <w:highlight w:val="none"/>
          <w:lang w:eastAsia="zh-CN"/>
        </w:rPr>
        <w:t>乙方提供的产品（包括免费提供的产品）</w:t>
      </w:r>
      <w:r>
        <w:rPr>
          <w:rFonts w:hint="eastAsia" w:ascii="仿宋" w:hAnsi="仿宋" w:eastAsia="仿宋" w:cs="仿宋"/>
          <w:color w:val="auto"/>
          <w:spacing w:val="4"/>
          <w:sz w:val="24"/>
          <w:highlight w:val="none"/>
        </w:rPr>
        <w:t xml:space="preserve">造成的不良事件、医疗纠纷等，均由乙方承担赔偿、善后处理责任。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7</w:t>
      </w:r>
      <w:r>
        <w:rPr>
          <w:rFonts w:hint="eastAsia" w:ascii="仿宋" w:hAnsi="仿宋" w:eastAsia="仿宋" w:cs="仿宋"/>
          <w:color w:val="auto"/>
          <w:spacing w:val="4"/>
          <w:sz w:val="24"/>
          <w:highlight w:val="none"/>
        </w:rPr>
        <w:t>、供货期内，乙方工作人员必须按照甲方规定的工作流程进行，不得私自与临床科室协商进行购销活动，否则，甲方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 xml:space="preserve">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lang w:eastAsia="zh-CN"/>
        </w:rPr>
      </w:pPr>
      <w:r>
        <w:rPr>
          <w:rFonts w:hint="eastAsia" w:ascii="仿宋" w:hAnsi="仿宋" w:eastAsia="仿宋" w:cs="仿宋"/>
          <w:b/>
          <w:color w:val="auto"/>
          <w:spacing w:val="4"/>
          <w:sz w:val="28"/>
          <w:szCs w:val="28"/>
          <w:highlight w:val="none"/>
        </w:rPr>
        <w:t>三、耗材的配送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2、交接方式：</w:t>
      </w:r>
      <w:r>
        <w:rPr>
          <w:rFonts w:hint="eastAsia" w:ascii="仿宋" w:hAnsi="仿宋" w:eastAsia="仿宋" w:cs="仿宋"/>
          <w:color w:val="auto"/>
          <w:spacing w:val="4"/>
          <w:sz w:val="24"/>
          <w:highlight w:val="none"/>
          <w:lang w:eastAsia="zh-CN"/>
        </w:rPr>
        <w:t>乙方</w:t>
      </w:r>
      <w:r>
        <w:rPr>
          <w:rFonts w:hint="eastAsia" w:ascii="仿宋" w:hAnsi="仿宋" w:eastAsia="仿宋" w:cs="仿宋"/>
          <w:color w:val="auto"/>
          <w:spacing w:val="4"/>
          <w:sz w:val="24"/>
          <w:highlight w:val="none"/>
        </w:rPr>
        <w:t>送货至甲方指定地点</w:t>
      </w:r>
      <w:r>
        <w:rPr>
          <w:rFonts w:hint="eastAsia" w:ascii="仿宋" w:hAnsi="仿宋" w:eastAsia="仿宋" w:cs="仿宋"/>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3、乙方所供产品在甲方接收前所产生的运送费用及风险由乙方承担。甲方办理验收手续后的所有产品的保管费用由甲方承担。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4、乙方所供的每批产品，不可跨月开具发票，否则甲方将视为无效发票处理。高值耗材采取先办理</w:t>
      </w:r>
      <w:r>
        <w:rPr>
          <w:rFonts w:hint="eastAsia" w:ascii="仿宋" w:hAnsi="仿宋" w:eastAsia="仿宋" w:cs="仿宋"/>
          <w:color w:val="auto"/>
          <w:spacing w:val="4"/>
          <w:sz w:val="24"/>
          <w:highlight w:val="none"/>
          <w:lang w:eastAsia="zh-CN"/>
        </w:rPr>
        <w:t>验收</w:t>
      </w:r>
      <w:r>
        <w:rPr>
          <w:rFonts w:hint="eastAsia" w:ascii="仿宋" w:hAnsi="仿宋" w:eastAsia="仿宋" w:cs="仿宋"/>
          <w:color w:val="auto"/>
          <w:spacing w:val="4"/>
          <w:sz w:val="24"/>
          <w:highlight w:val="none"/>
        </w:rPr>
        <w:t>手续，经临床使用、收费确认后方可办理开票、出库手续。</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rPr>
        <w:t>5、</w:t>
      </w:r>
      <w:r>
        <w:rPr>
          <w:rFonts w:hint="eastAsia" w:ascii="仿宋" w:hAnsi="仿宋" w:eastAsia="仿宋" w:cs="仿宋"/>
          <w:color w:val="auto"/>
          <w:spacing w:val="4"/>
          <w:sz w:val="24"/>
          <w:highlight w:val="none"/>
          <w:lang w:eastAsia="zh-CN"/>
        </w:rPr>
        <w:t>乙方保证所供产品质量符合国家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6、乙方可根据自身情况决定亲自配送耗材或委托第三方配送。货物到达甲方后，甲方应及时验收；甲方在收货后若有异议，须在收货后3日内以电话或书面形式提出。甲方对第三方配送有异议或产生拒收时，应及时通知乙方。对第三方配送过程中产生损坏的耗材，甲方</w:t>
      </w:r>
      <w:r>
        <w:rPr>
          <w:rFonts w:hint="eastAsia" w:ascii="仿宋" w:hAnsi="仿宋" w:eastAsia="仿宋" w:cs="仿宋"/>
          <w:color w:val="auto"/>
          <w:spacing w:val="4"/>
          <w:sz w:val="24"/>
          <w:highlight w:val="none"/>
          <w:lang w:eastAsia="zh-CN"/>
        </w:rPr>
        <w:t>有权</w:t>
      </w:r>
      <w:r>
        <w:rPr>
          <w:rFonts w:hint="eastAsia" w:ascii="仿宋" w:hAnsi="仿宋" w:eastAsia="仿宋" w:cs="仿宋"/>
          <w:color w:val="auto"/>
          <w:spacing w:val="4"/>
          <w:sz w:val="24"/>
          <w:highlight w:val="none"/>
        </w:rPr>
        <w:t>退货。</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7、乙方应按甲方需要在甲方指定地点为所供耗材的临床应用进行现场讲解或培训。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四、验收方式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甲乙双方共同开箱验收，并核对耗材名称、规格、产地、数量等是否与甲方需求相符，批号是否票货一致，耗材的外包装是否污染、挤压</w:t>
      </w:r>
      <w:r>
        <w:rPr>
          <w:rFonts w:hint="eastAsia" w:ascii="仿宋" w:hAnsi="仿宋" w:eastAsia="仿宋" w:cs="仿宋"/>
          <w:color w:val="auto"/>
          <w:spacing w:val="4"/>
          <w:sz w:val="24"/>
          <w:highlight w:val="none"/>
          <w:lang w:eastAsia="zh-CN"/>
        </w:rPr>
        <w:t>、破损</w:t>
      </w:r>
      <w:r>
        <w:rPr>
          <w:rFonts w:hint="eastAsia" w:ascii="仿宋" w:hAnsi="仿宋" w:eastAsia="仿宋" w:cs="仿宋"/>
          <w:color w:val="auto"/>
          <w:spacing w:val="4"/>
          <w:sz w:val="24"/>
          <w:highlight w:val="none"/>
        </w:rPr>
        <w:t>，产品注册证是否过期等。高值耗材需甲乙双方人员单个检查、核对。</w:t>
      </w:r>
    </w:p>
    <w:p>
      <w:pPr>
        <w:keepNext w:val="0"/>
        <w:keepLines w:val="0"/>
        <w:pageBreakBefore w:val="0"/>
        <w:widowControl w:val="0"/>
        <w:kinsoku/>
        <w:wordWrap/>
        <w:overflowPunct/>
        <w:topLinePunct w:val="0"/>
        <w:autoSpaceDE/>
        <w:autoSpaceDN/>
        <w:bidi w:val="0"/>
        <w:adjustRightInd/>
        <w:snapToGrid/>
        <w:spacing w:line="420" w:lineRule="exact"/>
        <w:ind w:left="42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2、甲方接货后，乙方工作人员出具的销售出库清单和发票必须经临床科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室主任或护士长以及</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人员共同签字确认，方可凭票据办理出入库手续，如缺任一签字，甲方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人员有权拒绝办理出入库和款项支付。</w:t>
      </w:r>
    </w:p>
    <w:p>
      <w:pPr>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乙方需在供货当月内办理出入库手续，如不能当月办理手续的，应写出情况说明，并由临床科室主任签字确认后交由</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审批。未按时办理出入库手续且未写出情况说明的，甲方不予办理出入库手续，由此造成的损失及责任由乙方自行承担。连续三个月未能及时办理出入库手续的，甲方有权终止合同。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五、货款支付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outlineLvl w:val="9"/>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4、如每年乙方供货不及时超过三次（不可抗力除外），</w:t>
      </w:r>
      <w:r>
        <w:rPr>
          <w:rFonts w:hint="eastAsia" w:ascii="Arial" w:hAnsi="Arial" w:cs="Arial"/>
          <w:color w:val="auto"/>
          <w:sz w:val="24"/>
          <w:szCs w:val="24"/>
          <w:highlight w:val="none"/>
          <w:lang w:eastAsia="zh-CN"/>
        </w:rPr>
        <w:t>甲方有权解除本合同，乙方应</w:t>
      </w:r>
      <w:r>
        <w:rPr>
          <w:rFonts w:hint="eastAsia" w:ascii="Arial" w:hAnsi="Arial" w:cs="Arial"/>
          <w:color w:val="auto"/>
          <w:spacing w:val="0"/>
          <w:sz w:val="24"/>
          <w:highlight w:val="none"/>
          <w:lang w:eastAsia="zh-CN"/>
        </w:rPr>
        <w:t>承担</w:t>
      </w:r>
      <w:r>
        <w:rPr>
          <w:rFonts w:hint="eastAsia" w:ascii="Arial" w:hAnsi="Arial" w:eastAsia="宋体" w:cs="Arial"/>
          <w:color w:val="auto"/>
          <w:spacing w:val="0"/>
          <w:sz w:val="24"/>
          <w:highlight w:val="none"/>
        </w:rPr>
        <w:t>年供货量总额的</w:t>
      </w:r>
      <w:r>
        <w:rPr>
          <w:rFonts w:hint="eastAsia" w:ascii="Arial" w:hAnsi="Arial" w:cs="Arial"/>
          <w:color w:val="auto"/>
          <w:sz w:val="24"/>
          <w:szCs w:val="24"/>
          <w:highlight w:val="none"/>
          <w:lang w:eastAsia="zh-CN"/>
        </w:rPr>
        <w:t>百分之二十的违约金。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5、双方在收货验票无异议后，均不得更改付款或入账时价格或金额，对因</w:t>
      </w:r>
      <w:r>
        <w:rPr>
          <w:rFonts w:hint="eastAsia" w:ascii="仿宋" w:hAnsi="仿宋" w:eastAsia="仿宋" w:cs="仿宋"/>
          <w:color w:val="auto"/>
          <w:spacing w:val="4"/>
          <w:sz w:val="24"/>
          <w:highlight w:val="none"/>
          <w:lang w:eastAsia="zh-CN"/>
        </w:rPr>
        <w:t>国家、省医用耗材集中采购</w:t>
      </w:r>
      <w:r>
        <w:rPr>
          <w:rFonts w:hint="eastAsia" w:ascii="仿宋" w:hAnsi="仿宋" w:eastAsia="仿宋" w:cs="仿宋"/>
          <w:color w:val="auto"/>
          <w:spacing w:val="4"/>
          <w:sz w:val="24"/>
          <w:highlight w:val="none"/>
        </w:rPr>
        <w:t>价格调整，乙方需在公布执行后</w:t>
      </w:r>
      <w:r>
        <w:rPr>
          <w:rFonts w:hint="eastAsia" w:ascii="仿宋" w:hAnsi="仿宋" w:eastAsia="仿宋" w:cs="仿宋"/>
          <w:color w:val="auto"/>
          <w:spacing w:val="4"/>
          <w:sz w:val="24"/>
          <w:highlight w:val="none"/>
          <w:lang w:val="en-US" w:e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天内将所需调整的具体品种、数量、价格通知甲方，逾期未通知甲方而造成的损失由乙方</w:t>
      </w:r>
      <w:r>
        <w:rPr>
          <w:rFonts w:hint="eastAsia" w:ascii="仿宋" w:hAnsi="仿宋" w:eastAsia="仿宋" w:cs="仿宋"/>
          <w:color w:val="auto"/>
          <w:spacing w:val="4"/>
          <w:sz w:val="24"/>
          <w:highlight w:val="none"/>
          <w:lang w:eastAsia="zh-CN"/>
        </w:rPr>
        <w:t>承担</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六、退货处理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1、甲方使用期间，如存在质量问题、注册证过期、厂家授权过期、导致不良事件的产品，乙方应无条件给予退换货处理，并承担由此产生的所有经济、人事责任。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乙方必须保证所供植入介入性耗材的有效期在半年以上，一经发现有效期不足半年的，甲方有权要求退货处理，由此造成事故责任和经济损失，由乙方全部承担。乙方所供（非植入介入性）产品有效期必须大于三个月，如出现过期产品，乙方应无条件退换货。</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3、货物售出三个月内，对甲方未使用完要求退货的货物，应先征得乙方同意，且所退货物必须外包装良好、未破损丢失、不得影响乙方正常销售。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七、违约责任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1、合同自签订之日起立即生效，双方必需严格执行，若任何一方有正当理由要求变更供货规格、数量及交货日期的应首先取得双方书面同意，并承担由此给对方造成的直接损失。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八、不可抗力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九、解决合同纠纷方式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十、协议的修改和补充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1、合同期内，本合同若与国家相关文件及相关法律要求相违背，则按照国家相关文件要求办理，需变更相应条款的，双方将协商变更或终止本合同。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2、医院按照相关政策执行医用耗材集中配送等业务，乙方需按照医院要求执行，若乙方不同意集中配送的，甲方有权终止本合同。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十</w:t>
      </w: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五</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四</w:t>
      </w:r>
      <w:r>
        <w:rPr>
          <w:rFonts w:hint="eastAsia" w:ascii="仿宋" w:hAnsi="仿宋" w:eastAsia="仿宋" w:cs="仿宋"/>
          <w:spacing w:val="4"/>
          <w:sz w:val="24"/>
        </w:rPr>
        <w:t>份</w:t>
      </w:r>
      <w:r>
        <w:rPr>
          <w:rFonts w:hint="eastAsia" w:ascii="仿宋" w:hAnsi="仿宋" w:eastAsia="仿宋" w:cs="仿宋"/>
          <w:spacing w:val="4"/>
          <w:sz w:val="24"/>
          <w:lang w:eastAsia="zh-CN"/>
        </w:rPr>
        <w:t>，具有同等法律效力。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pPr>
      <w:r>
        <w:rPr>
          <w:rFonts w:hint="eastAsia" w:ascii="仿宋" w:hAnsi="仿宋" w:eastAsia="仿宋" w:cs="仿宋"/>
          <w:spacing w:val="4"/>
          <w:sz w:val="24"/>
        </w:rPr>
        <w:t xml:space="preserve">年    月    日                            年    月    日  </w:t>
      </w:r>
    </w:p>
    <w:p>
      <w:pPr>
        <w:rPr>
          <w:rFonts w:hint="eastAsia" w:ascii="黑体" w:hAnsi="黑体" w:eastAsia="黑体" w:cs="黑体"/>
          <w:sz w:val="32"/>
          <w:szCs w:val="32"/>
        </w:rPr>
      </w:pPr>
      <w:r>
        <w:rPr>
          <w:rFonts w:hint="eastAsia" w:ascii="黑体" w:hAnsi="黑体" w:eastAsia="黑体" w:cs="黑体"/>
          <w:sz w:val="32"/>
          <w:szCs w:val="32"/>
        </w:rPr>
        <w:t>附件：</w:t>
      </w:r>
    </w:p>
    <w:tbl>
      <w:tblPr>
        <w:tblStyle w:val="12"/>
        <w:tblW w:w="9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018"/>
        <w:gridCol w:w="832"/>
        <w:gridCol w:w="846"/>
        <w:gridCol w:w="2154"/>
        <w:gridCol w:w="1418"/>
        <w:gridCol w:w="764"/>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序号</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注册证产品名称</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规格</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型号</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生产厂家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注册证号</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单价</w:t>
            </w:r>
            <w:r>
              <w:rPr>
                <w:rFonts w:hint="eastAsia" w:ascii="仿宋" w:hAnsi="仿宋" w:eastAsia="仿宋" w:cs="仿宋"/>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jc w:val="center"/>
        </w:trPr>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仿宋" w:hAnsi="仿宋" w:eastAsia="仿宋" w:cs="仿宋"/>
                <w:sz w:val="21"/>
                <w:szCs w:val="21"/>
                <w:vertAlign w:val="baseline"/>
                <w:lang w:val="en-US" w:eastAsia="zh-CN"/>
              </w:rPr>
            </w:pPr>
          </w:p>
        </w:tc>
      </w:tr>
    </w:tbl>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pStyle w:val="2"/>
        <w:rPr>
          <w:rFonts w:hint="eastAsia" w:ascii="方正小标宋简体" w:eastAsia="方正小标宋简体"/>
          <w:color w:val="000000"/>
          <w:sz w:val="44"/>
          <w:szCs w:val="44"/>
        </w:rPr>
      </w:pPr>
    </w:p>
    <w:p>
      <w:pPr>
        <w:pStyle w:val="2"/>
        <w:rPr>
          <w:rFonts w:hint="eastAsia" w:ascii="方正小标宋简体" w:eastAsia="方正小标宋简体"/>
          <w:color w:val="000000"/>
          <w:sz w:val="44"/>
          <w:szCs w:val="44"/>
        </w:rPr>
      </w:pPr>
    </w:p>
    <w:p>
      <w:pPr>
        <w:pStyle w:val="2"/>
        <w:rPr>
          <w:rFonts w:hint="eastAsia"/>
        </w:rPr>
      </w:pPr>
    </w:p>
    <w:p>
      <w:pPr>
        <w:tabs>
          <w:tab w:val="left" w:pos="2510"/>
          <w:tab w:val="center" w:pos="4153"/>
        </w:tabs>
        <w:jc w:val="center"/>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格式自拟（必须有所报产品型号、品牌、单价、总价，省标流水号、国家医保代码（</w:t>
            </w:r>
            <w:r>
              <w:rPr>
                <w:rFonts w:hint="eastAsia" w:ascii="仿宋" w:hAnsi="仿宋" w:eastAsia="仿宋"/>
                <w:b/>
                <w:color w:val="C00000"/>
                <w:sz w:val="22"/>
                <w:szCs w:val="21"/>
                <w:lang w:val="en-US" w:eastAsia="zh-CN"/>
              </w:rPr>
              <w:t>20位或27位</w:t>
            </w:r>
            <w:r>
              <w:rPr>
                <w:rFonts w:hint="eastAsia" w:ascii="仿宋" w:hAnsi="仿宋" w:eastAsia="仿宋"/>
                <w:b/>
                <w:color w:val="C00000"/>
                <w:sz w:val="22"/>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bookmarkStart w:id="15" w:name="_GoBack"/>
            <w:bookmarkEnd w:id="1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医疗器械产品注册及附表</w:t>
            </w:r>
          </w:p>
        </w:tc>
        <w:tc>
          <w:tcPr>
            <w:tcW w:w="5587" w:type="dxa"/>
            <w:tcBorders>
              <w:top w:val="single" w:color="auto" w:sz="4" w:space="0"/>
              <w:bottom w:val="single" w:color="auto" w:sz="4" w:space="0"/>
            </w:tcBorders>
            <w:vAlign w:val="center"/>
          </w:tcPr>
          <w:p>
            <w:pPr>
              <w:jc w:val="left"/>
              <w:rPr>
                <w:rFonts w:hint="eastAsia" w:ascii="仿宋" w:hAnsi="仿宋" w:eastAsia="仿宋" w:cs="宋体"/>
                <w:b/>
                <w:bCs/>
                <w:color w:val="C00000"/>
                <w:kern w:val="0"/>
                <w:sz w:val="22"/>
                <w:szCs w:val="21"/>
              </w:rPr>
            </w:pPr>
            <w:r>
              <w:rPr>
                <w:rFonts w:hint="eastAsia" w:ascii="仿宋" w:hAnsi="仿宋" w:eastAsia="仿宋" w:cs="宋体"/>
                <w:b/>
                <w:bCs/>
                <w:color w:val="C00000"/>
                <w:kern w:val="0"/>
                <w:sz w:val="22"/>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产品详细参数</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产品检验报告</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注册检验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15</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10762"/>
      <w:bookmarkStart w:id="1" w:name="_Toc9548"/>
      <w:bookmarkStart w:id="2" w:name="_Toc258333636"/>
      <w:bookmarkStart w:id="3" w:name="_Toc258360269"/>
      <w:bookmarkStart w:id="4" w:name="_Toc320878640"/>
      <w:bookmarkStart w:id="5" w:name="_Toc261708863"/>
      <w:bookmarkStart w:id="6" w:name="_Toc219626747"/>
      <w:bookmarkStart w:id="7" w:name="_Toc15313"/>
      <w:bookmarkStart w:id="8" w:name="_Toc304219257"/>
      <w:bookmarkStart w:id="9" w:name="_Toc248896063"/>
      <w:bookmarkStart w:id="10" w:name="_Toc17030"/>
      <w:bookmarkStart w:id="11" w:name="_Toc258360158"/>
      <w:bookmarkStart w:id="12" w:name="_Toc337554724"/>
      <w:bookmarkStart w:id="13" w:name="_Toc258354146"/>
      <w:bookmarkStart w:id="14" w:name="_Toc337475854"/>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2098473B"/>
    <w:multiLevelType w:val="singleLevel"/>
    <w:tmpl w:val="2098473B"/>
    <w:lvl w:ilvl="0" w:tentative="0">
      <w:start w:val="1"/>
      <w:numFmt w:val="chineseCounting"/>
      <w:suff w:val="nothing"/>
      <w:lvlText w:val="%1、"/>
      <w:lvlJc w:val="left"/>
      <w:rPr>
        <w:rFonts w:hint="eastAsia"/>
      </w:rPr>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E577C4A"/>
    <w:multiLevelType w:val="singleLevel"/>
    <w:tmpl w:val="3E577C4A"/>
    <w:lvl w:ilvl="0" w:tentative="0">
      <w:start w:val="2"/>
      <w:numFmt w:val="decimal"/>
      <w:suff w:val="nothing"/>
      <w:lvlText w:val="%1、"/>
      <w:lvlJc w:val="left"/>
    </w:lvl>
  </w:abstractNum>
  <w:abstractNum w:abstractNumId="7">
    <w:nsid w:val="416AE8B3"/>
    <w:multiLevelType w:val="singleLevel"/>
    <w:tmpl w:val="416AE8B3"/>
    <w:lvl w:ilvl="0" w:tentative="0">
      <w:start w:val="3"/>
      <w:numFmt w:val="decimal"/>
      <w:suff w:val="nothing"/>
      <w:lvlText w:val="%1、"/>
      <w:lvlJc w:val="left"/>
    </w:lvl>
  </w:abstractNum>
  <w:abstractNum w:abstractNumId="8">
    <w:nsid w:val="55DFCF8B"/>
    <w:multiLevelType w:val="singleLevel"/>
    <w:tmpl w:val="55DFCF8B"/>
    <w:lvl w:ilvl="0" w:tentative="0">
      <w:start w:val="1"/>
      <w:numFmt w:val="decimal"/>
      <w:lvlText w:val="%1."/>
      <w:lvlJc w:val="left"/>
      <w:pPr>
        <w:tabs>
          <w:tab w:val="left" w:pos="312"/>
        </w:tabs>
      </w:p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9"/>
  </w:num>
  <w:num w:numId="3">
    <w:abstractNumId w:val="2"/>
  </w:num>
  <w:num w:numId="4">
    <w:abstractNumId w:val="1"/>
  </w:num>
  <w:num w:numId="5">
    <w:abstractNumId w:val="6"/>
  </w:num>
  <w:num w:numId="6">
    <w:abstractNumId w:val="0"/>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41C0681"/>
    <w:rsid w:val="06AB0CBE"/>
    <w:rsid w:val="07115D57"/>
    <w:rsid w:val="08492771"/>
    <w:rsid w:val="08B25A56"/>
    <w:rsid w:val="091E4C98"/>
    <w:rsid w:val="09984B6B"/>
    <w:rsid w:val="0B9D1095"/>
    <w:rsid w:val="0CE95F36"/>
    <w:rsid w:val="0CFB4C25"/>
    <w:rsid w:val="0E5B26BC"/>
    <w:rsid w:val="0E9016D0"/>
    <w:rsid w:val="0E93621F"/>
    <w:rsid w:val="0FA84893"/>
    <w:rsid w:val="111B0067"/>
    <w:rsid w:val="114C35D9"/>
    <w:rsid w:val="11953DFF"/>
    <w:rsid w:val="11C31BE9"/>
    <w:rsid w:val="12A11F66"/>
    <w:rsid w:val="14682D8B"/>
    <w:rsid w:val="16A35C46"/>
    <w:rsid w:val="17D81E85"/>
    <w:rsid w:val="188744A6"/>
    <w:rsid w:val="1965314B"/>
    <w:rsid w:val="1C900C49"/>
    <w:rsid w:val="1D5D013B"/>
    <w:rsid w:val="1D995826"/>
    <w:rsid w:val="1E4C6245"/>
    <w:rsid w:val="1F1D4095"/>
    <w:rsid w:val="22401398"/>
    <w:rsid w:val="245F44FD"/>
    <w:rsid w:val="246624B2"/>
    <w:rsid w:val="24DF7354"/>
    <w:rsid w:val="24FE3AD7"/>
    <w:rsid w:val="25E13CF1"/>
    <w:rsid w:val="2643733F"/>
    <w:rsid w:val="264A511E"/>
    <w:rsid w:val="278100C0"/>
    <w:rsid w:val="288B4898"/>
    <w:rsid w:val="29C6458A"/>
    <w:rsid w:val="2A7E0BB7"/>
    <w:rsid w:val="2B0A7B44"/>
    <w:rsid w:val="2F632DBF"/>
    <w:rsid w:val="30217C48"/>
    <w:rsid w:val="31827FC3"/>
    <w:rsid w:val="32367AE2"/>
    <w:rsid w:val="33F956F6"/>
    <w:rsid w:val="35235DD9"/>
    <w:rsid w:val="384A7AD5"/>
    <w:rsid w:val="3B2A4846"/>
    <w:rsid w:val="3B5373B6"/>
    <w:rsid w:val="3DA0606C"/>
    <w:rsid w:val="3EDC78BB"/>
    <w:rsid w:val="3EEB7664"/>
    <w:rsid w:val="42401995"/>
    <w:rsid w:val="44504B88"/>
    <w:rsid w:val="44B67130"/>
    <w:rsid w:val="456841B6"/>
    <w:rsid w:val="4656733B"/>
    <w:rsid w:val="46BB2C0A"/>
    <w:rsid w:val="486D7AF7"/>
    <w:rsid w:val="494804BB"/>
    <w:rsid w:val="4B4638AD"/>
    <w:rsid w:val="4B9C1C97"/>
    <w:rsid w:val="4BC500AA"/>
    <w:rsid w:val="4FCE5CD6"/>
    <w:rsid w:val="514F77D3"/>
    <w:rsid w:val="53501B3C"/>
    <w:rsid w:val="537944E4"/>
    <w:rsid w:val="550B217C"/>
    <w:rsid w:val="563E288F"/>
    <w:rsid w:val="57162389"/>
    <w:rsid w:val="57575861"/>
    <w:rsid w:val="5AD50E25"/>
    <w:rsid w:val="5D327E39"/>
    <w:rsid w:val="5D4D3632"/>
    <w:rsid w:val="615523A0"/>
    <w:rsid w:val="649D2897"/>
    <w:rsid w:val="64E26821"/>
    <w:rsid w:val="65207F71"/>
    <w:rsid w:val="66016CC0"/>
    <w:rsid w:val="695C7637"/>
    <w:rsid w:val="6A67750E"/>
    <w:rsid w:val="6B1F07B6"/>
    <w:rsid w:val="6C6413EA"/>
    <w:rsid w:val="6CD8518D"/>
    <w:rsid w:val="6ECA7999"/>
    <w:rsid w:val="6F8E4227"/>
    <w:rsid w:val="70E04A7D"/>
    <w:rsid w:val="71B367CA"/>
    <w:rsid w:val="745F5922"/>
    <w:rsid w:val="77F35741"/>
    <w:rsid w:val="78481C82"/>
    <w:rsid w:val="78BC0632"/>
    <w:rsid w:val="78BE0AF1"/>
    <w:rsid w:val="792701E6"/>
    <w:rsid w:val="798E357B"/>
    <w:rsid w:val="7AFC68A2"/>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1</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2021-05-27T07:48:00Z</cp:lastPrinted>
  <dcterms:modified xsi:type="dcterms:W3CDTF">2021-09-16T08:01:03Z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